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CED130D" w:rsidP="5CED130D" w:rsidRDefault="5CED130D" w14:paraId="5319B5C3" w14:textId="32FC5736">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0539DFDE" w14:textId="78253D92">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64A32033" w14:textId="2A88FF18">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3A402EF6" w14:textId="436F3DAB">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3573A5F7" w14:textId="4764126F">
      <w:pPr>
        <w:pStyle w:val="Normal"/>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0DB0CC14" w14:textId="4F794731">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1AD0A4F5" w14:textId="74C6B552">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7274BA62" w14:textId="3A501815">
      <w:pPr>
        <w:spacing w:line="480" w:lineRule="auto"/>
        <w:jc w:val="center"/>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Misdemeanorland Chapters Summary</w:t>
      </w:r>
    </w:p>
    <w:p w:rsidR="5CED130D" w:rsidP="5CED130D" w:rsidRDefault="5CED130D" w14:paraId="4D6C3862" w14:textId="1FAC6C72">
      <w:pPr>
        <w:pStyle w:val="Normal"/>
        <w:spacing w:line="480" w:lineRule="auto"/>
        <w:jc w:val="center"/>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Student’s name</w:t>
      </w:r>
    </w:p>
    <w:p w:rsidR="5CED130D" w:rsidP="5CED130D" w:rsidRDefault="5CED130D" w14:paraId="1E0B384A" w14:textId="0BA8E211">
      <w:pPr>
        <w:spacing w:line="480" w:lineRule="auto"/>
        <w:jc w:val="center"/>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Institutional Affiliation</w:t>
      </w:r>
    </w:p>
    <w:p w:rsidR="5CED130D" w:rsidP="5CED130D" w:rsidRDefault="5CED130D" w14:paraId="69BE37DC" w14:textId="0E3DDF1B">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19EF2F41" w14:textId="7D6DE264">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67846E13" w14:textId="0FB9370D">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6366414C" w14:textId="10CA2CD3">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65FC5AD2" w14:textId="6BF9A5E2">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2D640FF3" w14:textId="67F35C81">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4175A429" w14:textId="26017CD9">
      <w:pPr>
        <w:spacing w:line="480" w:lineRule="auto"/>
        <w:rPr>
          <w:rFonts w:ascii="Times New Roman" w:hAnsi="Times New Roman" w:eastAsia="Times New Roman" w:cs="Times New Roman"/>
          <w:b w:val="1"/>
          <w:bCs w:val="1"/>
          <w:noProof w:val="0"/>
          <w:sz w:val="24"/>
          <w:szCs w:val="24"/>
          <w:lang w:val="en-US"/>
        </w:rPr>
      </w:pPr>
    </w:p>
    <w:p w:rsidR="5CED130D" w:rsidP="5CED130D" w:rsidRDefault="5CED130D" w14:paraId="2414E78E" w14:textId="4D95709F">
      <w:pPr>
        <w:pStyle w:val="Normal"/>
        <w:spacing w:line="480" w:lineRule="auto"/>
        <w:rPr>
          <w:rFonts w:ascii="Times New Roman" w:hAnsi="Times New Roman" w:eastAsia="Times New Roman" w:cs="Times New Roman"/>
          <w:b w:val="1"/>
          <w:bCs w:val="1"/>
          <w:noProof w:val="0"/>
          <w:sz w:val="24"/>
          <w:szCs w:val="24"/>
          <w:lang w:val="en-US"/>
        </w:rPr>
      </w:pPr>
    </w:p>
    <w:p xmlns:wp14="http://schemas.microsoft.com/office/word/2010/wordml" w:rsidP="5CED130D" w14:paraId="017CD0CD" wp14:textId="45F5B433">
      <w:pPr>
        <w:spacing w:line="480" w:lineRule="auto"/>
        <w:jc w:val="center"/>
        <w:rPr>
          <w:rFonts w:ascii="Times New Roman" w:hAnsi="Times New Roman" w:eastAsia="Times New Roman" w:cs="Times New Roman"/>
          <w:b w:val="1"/>
          <w:bCs w:val="1"/>
          <w:noProof w:val="0"/>
          <w:sz w:val="24"/>
          <w:szCs w:val="24"/>
          <w:lang w:val="en-US"/>
        </w:rPr>
      </w:pPr>
      <w:r w:rsidRPr="5CED130D" w:rsidR="5CED130D">
        <w:rPr>
          <w:rFonts w:ascii="Times New Roman" w:hAnsi="Times New Roman" w:eastAsia="Times New Roman" w:cs="Times New Roman"/>
          <w:b w:val="1"/>
          <w:bCs w:val="1"/>
          <w:noProof w:val="0"/>
          <w:sz w:val="24"/>
          <w:szCs w:val="24"/>
          <w:lang w:val="en-US"/>
        </w:rPr>
        <w:t>Chapter 1</w:t>
      </w:r>
    </w:p>
    <w:p xmlns:wp14="http://schemas.microsoft.com/office/word/2010/wordml" w:rsidP="5CED130D" w14:paraId="1A023332" wp14:textId="040B5029">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For most of the years when crime was at its peak in New York City, around 1988 to 1991, misdemeanor arrests were few compares to felony arrests. That changed in 1993 when Rudolph Guiliani was elected as mayor therefore appointing William Bratton as police commissioner. In 1994, the police announced a policy document entitled ‘Police Strategy No. 5: Reclaiming the Public Spaces of New York’. The document identified small offenses as a priority to be enforced. Some of the conditions that would be targeted by the police were noise complaints, illegal parking, graffiti writing on walls, illegal peddling and public drunkenness. Bratton stated that they wouldn’t ignore the little things like graffiti and fare evasion.</w:t>
      </w:r>
    </w:p>
    <w:p xmlns:wp14="http://schemas.microsoft.com/office/word/2010/wordml" w:rsidP="5CED130D" w14:paraId="4C3A28B8" wp14:textId="5DD7C690">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The police needed uninformed bodies on the streets looking for low level offenders and mechanisms for recording the encounters so as to trace people. With increased capacity, the police were able to enforce the law on the street level. They had a variety of tools to deal with low level crimes. They could choose to disregard some offenses, informally address them or formally address them (Kohler-Hausmann, 2019, p. 30). For many low-level offenses, the same conduct could be taken as a misdemeanor offense, and which the offense level is determined for sentencing and record keeping.</w:t>
      </w:r>
    </w:p>
    <w:p xmlns:wp14="http://schemas.microsoft.com/office/word/2010/wordml" w:rsidP="5CED130D" w14:paraId="7ECB8F41" wp14:textId="71758818">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The import of the changed brought about by the Police Strategy No. 5 is only evident if one understands what is the difference between different low-level enforcement options. The changed instituted were not just external, but also affected how the police functioned as an organization. The plans detailed in the document were formulated to change how officers conducted enforcement on low level crimes (Kohler-Hausmann, 2019, p. 42). The social meanings of the offenses, defendants and spaces were taken into consideration to shape what legal actors find acceptable to do with the cases.</w:t>
      </w:r>
    </w:p>
    <w:p xmlns:wp14="http://schemas.microsoft.com/office/word/2010/wordml" w:rsidP="5CED130D" w14:paraId="23AF06D1" wp14:textId="1B970154">
      <w:pPr>
        <w:spacing w:line="480" w:lineRule="auto"/>
        <w:jc w:val="center"/>
        <w:rPr>
          <w:rFonts w:ascii="Times New Roman" w:hAnsi="Times New Roman" w:eastAsia="Times New Roman" w:cs="Times New Roman"/>
          <w:b w:val="1"/>
          <w:bCs w:val="1"/>
          <w:noProof w:val="0"/>
          <w:sz w:val="24"/>
          <w:szCs w:val="24"/>
          <w:lang w:val="en-US"/>
        </w:rPr>
      </w:pPr>
      <w:r w:rsidRPr="5CED130D" w:rsidR="5CED130D">
        <w:rPr>
          <w:rFonts w:ascii="Times New Roman" w:hAnsi="Times New Roman" w:eastAsia="Times New Roman" w:cs="Times New Roman"/>
          <w:b w:val="1"/>
          <w:bCs w:val="1"/>
          <w:noProof w:val="0"/>
          <w:sz w:val="24"/>
          <w:szCs w:val="24"/>
          <w:lang w:val="en-US"/>
        </w:rPr>
        <w:t>Chapter 2</w:t>
      </w:r>
    </w:p>
    <w:p xmlns:wp14="http://schemas.microsoft.com/office/word/2010/wordml" w:rsidP="5CED130D" w14:paraId="5686A0A3" wp14:textId="137C253C">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The Broken Windows policing initiative of New York City was created to enforce against low-level offenses. These tactics resulted in a great increase in the number of low-level offenses and arrests. Surprisingly, while the number misdemeanor arrests increased, the rate of misdemeanor convictions decreased (Kohler-Hausmann, 2019, p. 60). There is a lower probability of being convicted for a low-level crime offense in the era of Broken Windows that the offender did in the decade before its rise.</w:t>
      </w:r>
    </w:p>
    <w:p xmlns:wp14="http://schemas.microsoft.com/office/word/2010/wordml" w:rsidP="5CED130D" w14:paraId="31E4787A" wp14:textId="3B3C306E">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Denunciations of the assembly-line justice has been nearly constant over the past century, notwithstanding substantial changes in the procedural and substantive laws under which these courts operate. Over the first half of the 20</w:t>
      </w:r>
      <w:r w:rsidRPr="5CED130D" w:rsidR="5CED130D">
        <w:rPr>
          <w:rFonts w:ascii="Times New Roman" w:hAnsi="Times New Roman" w:eastAsia="Times New Roman" w:cs="Times New Roman"/>
          <w:b w:val="0"/>
          <w:bCs w:val="0"/>
          <w:noProof w:val="0"/>
          <w:sz w:val="24"/>
          <w:szCs w:val="24"/>
          <w:vertAlign w:val="superscript"/>
          <w:lang w:val="en-US"/>
        </w:rPr>
        <w:t>th</w:t>
      </w:r>
      <w:r w:rsidRPr="5CED130D" w:rsidR="5CED130D">
        <w:rPr>
          <w:rFonts w:ascii="Times New Roman" w:hAnsi="Times New Roman" w:eastAsia="Times New Roman" w:cs="Times New Roman"/>
          <w:b w:val="0"/>
          <w:bCs w:val="0"/>
          <w:noProof w:val="0"/>
          <w:sz w:val="24"/>
          <w:szCs w:val="24"/>
          <w:lang w:val="en-US"/>
        </w:rPr>
        <w:t xml:space="preserve"> century, this assessment remained largely unchanged (Kohler-Hausmann, 2019, p. 62). The landscape of low-level crime courts has shifted greatly in more than 30 years since Feeley’s study. As a result of these changes, a small but increasing number of legal scholars are renewing their attention to these courts and the assembly-line justice critique has been reformed.</w:t>
      </w:r>
    </w:p>
    <w:p xmlns:wp14="http://schemas.microsoft.com/office/word/2010/wordml" w:rsidP="5CED130D" w14:paraId="273E802A" wp14:textId="13735962">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The managerial model proposed has three defining features. The first feature is that it operates on the basis of a presumption of the requirement of social control over people presented to misdemeanorland. The second feature is that criminal court actors use various penal skills far from conviction and control over custody to exercise varying degrees of social control over defendants (Kohler-Hausmann, 2019, p. 77). The last feature is that those penal skills are combined in greater strength with each successive recorded experience or defeat to live up to the procedural and performance demands of misdemeanorland. The managerial model explains the pattern of dispositions because the criminal procedure and law rules are taken as tools for social regulation of populations over time.</w:t>
      </w:r>
    </w:p>
    <w:p xmlns:wp14="http://schemas.microsoft.com/office/word/2010/wordml" w:rsidP="5CED130D" w14:paraId="40018B3A" wp14:textId="3DA888D1">
      <w:pPr>
        <w:spacing w:line="480" w:lineRule="auto"/>
        <w:jc w:val="center"/>
        <w:rPr>
          <w:rFonts w:ascii="Times New Roman" w:hAnsi="Times New Roman" w:eastAsia="Times New Roman" w:cs="Times New Roman"/>
          <w:b w:val="1"/>
          <w:bCs w:val="1"/>
          <w:noProof w:val="0"/>
          <w:sz w:val="24"/>
          <w:szCs w:val="24"/>
          <w:lang w:val="en-US"/>
        </w:rPr>
      </w:pPr>
      <w:r w:rsidRPr="5CED130D" w:rsidR="5CED130D">
        <w:rPr>
          <w:rFonts w:ascii="Times New Roman" w:hAnsi="Times New Roman" w:eastAsia="Times New Roman" w:cs="Times New Roman"/>
          <w:b w:val="1"/>
          <w:bCs w:val="1"/>
          <w:noProof w:val="0"/>
          <w:sz w:val="24"/>
          <w:szCs w:val="24"/>
          <w:lang w:val="en-US"/>
        </w:rPr>
        <w:t>Chapter 3</w:t>
      </w:r>
    </w:p>
    <w:p xmlns:wp14="http://schemas.microsoft.com/office/word/2010/wordml" w:rsidP="5CED130D" w14:paraId="7C652207" wp14:textId="6AEAE3C8">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 xml:space="preserve">Criminal law unfolds in a solid social and material setting. The rules that comprise of criminal law and procedure exercise their social effects and force under certain circumstances. Only by careful documentation of the practical circumstances facing the actors in </w:t>
      </w:r>
      <w:r w:rsidRPr="5CED130D" w:rsidR="5CED130D">
        <w:rPr>
          <w:rFonts w:ascii="Times New Roman" w:hAnsi="Times New Roman" w:eastAsia="Times New Roman" w:cs="Times New Roman"/>
          <w:b w:val="0"/>
          <w:bCs w:val="0"/>
          <w:noProof w:val="0"/>
          <w:sz w:val="24"/>
          <w:szCs w:val="24"/>
          <w:lang w:val="en-US"/>
        </w:rPr>
        <w:t>misdemeanorland</w:t>
      </w:r>
      <w:r w:rsidRPr="5CED130D" w:rsidR="5CED130D">
        <w:rPr>
          <w:rFonts w:ascii="Times New Roman" w:hAnsi="Times New Roman" w:eastAsia="Times New Roman" w:cs="Times New Roman"/>
          <w:b w:val="0"/>
          <w:bCs w:val="0"/>
          <w:noProof w:val="0"/>
          <w:sz w:val="24"/>
          <w:szCs w:val="24"/>
          <w:lang w:val="en-US"/>
        </w:rPr>
        <w:t xml:space="preserve">, we can </w:t>
      </w:r>
      <w:r w:rsidRPr="5CED130D" w:rsidR="5CED130D">
        <w:rPr>
          <w:rFonts w:ascii="Times New Roman" w:hAnsi="Times New Roman" w:eastAsia="Times New Roman" w:cs="Times New Roman"/>
          <w:b w:val="0"/>
          <w:bCs w:val="0"/>
          <w:noProof w:val="0"/>
          <w:sz w:val="24"/>
          <w:szCs w:val="24"/>
          <w:lang w:val="en-US"/>
        </w:rPr>
        <w:t>perceive</w:t>
      </w:r>
      <w:r w:rsidRPr="5CED130D" w:rsidR="5CED130D">
        <w:rPr>
          <w:rFonts w:ascii="Times New Roman" w:hAnsi="Times New Roman" w:eastAsia="Times New Roman" w:cs="Times New Roman"/>
          <w:b w:val="0"/>
          <w:bCs w:val="0"/>
          <w:noProof w:val="0"/>
          <w:sz w:val="24"/>
          <w:szCs w:val="24"/>
          <w:lang w:val="en-US"/>
        </w:rPr>
        <w:t xml:space="preserve"> well how the managerial model flourishes (Kohler-Hausmann, 2019, p. 100). This chapter analyzes the conditions of lower-level courts to explain why increased emphasis and enforcement on misdemeanor offenses resulted in lower rated of conviction and punishment. The managerial model is defined by the logic that organizes activities of legal actors, by the very principles and goals that structure how decision-making situations are approached.</w:t>
      </w:r>
    </w:p>
    <w:p xmlns:wp14="http://schemas.microsoft.com/office/word/2010/wordml" w:rsidP="5CED130D" w14:paraId="7D0CB8D3" wp14:textId="73CB27FB">
      <w:pPr>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 xml:space="preserve">Many studies of criminal courts approach that study from the top down, making an assumption that the rules and procedures direct the acts of legal actors. However, a better approach to understanding ow the managerial model flourishes is to study law from the ground up. This approach asks how the practical circumstances of legal work </w:t>
      </w:r>
      <w:r w:rsidRPr="5CED130D" w:rsidR="5CED130D">
        <w:rPr>
          <w:rFonts w:ascii="Times New Roman" w:hAnsi="Times New Roman" w:eastAsia="Times New Roman" w:cs="Times New Roman"/>
          <w:b w:val="0"/>
          <w:bCs w:val="0"/>
          <w:noProof w:val="0"/>
          <w:sz w:val="24"/>
          <w:szCs w:val="24"/>
          <w:lang w:val="en-US"/>
        </w:rPr>
        <w:t>lead</w:t>
      </w:r>
      <w:r w:rsidRPr="5CED130D" w:rsidR="5CED130D">
        <w:rPr>
          <w:rFonts w:ascii="Times New Roman" w:hAnsi="Times New Roman" w:eastAsia="Times New Roman" w:cs="Times New Roman"/>
          <w:b w:val="0"/>
          <w:bCs w:val="0"/>
          <w:noProof w:val="0"/>
          <w:sz w:val="24"/>
          <w:szCs w:val="24"/>
          <w:lang w:val="en-US"/>
        </w:rPr>
        <w:t xml:space="preserve"> actors to understand the purposes of criminal law and procedure rules. There are practical circumstances that shape the actors ‘ends in view’. The first section details who and what is processed. The second section details the resource constraints on actors in the field.</w:t>
      </w:r>
    </w:p>
    <w:p xmlns:wp14="http://schemas.microsoft.com/office/word/2010/wordml" w:rsidP="5CED130D" w14:paraId="0DBBDE6F" wp14:textId="2AD9B594">
      <w:pPr>
        <w:pStyle w:val="Normal"/>
        <w:spacing w:line="480" w:lineRule="auto"/>
        <w:ind w:firstLine="720"/>
        <w:rPr>
          <w:rFonts w:ascii="Times New Roman" w:hAnsi="Times New Roman" w:eastAsia="Times New Roman" w:cs="Times New Roman"/>
          <w:b w:val="0"/>
          <w:bCs w:val="0"/>
          <w:noProof w:val="0"/>
          <w:sz w:val="24"/>
          <w:szCs w:val="24"/>
          <w:lang w:val="en-US"/>
        </w:rPr>
      </w:pPr>
      <w:r w:rsidRPr="5CED130D" w:rsidR="5CED130D">
        <w:rPr>
          <w:rFonts w:ascii="Times New Roman" w:hAnsi="Times New Roman" w:eastAsia="Times New Roman" w:cs="Times New Roman"/>
          <w:b w:val="0"/>
          <w:bCs w:val="0"/>
          <w:noProof w:val="0"/>
          <w:sz w:val="24"/>
          <w:szCs w:val="24"/>
          <w:lang w:val="en-US"/>
        </w:rPr>
        <w:t>The strategies selected to deal with pressing tasks and regular problem situations faced daily produced a type of pattern for handling cases that progressively improves penal control (Kohler-Hausmann, 2019, p. 140). As that pattern is used over time, a rise in collective justifications of the approach is seen in such a way that it ties it to institutionalized propositions on the social function of criminal law. Various strategies, practices and records are used in the managerial model to seek social control in misdemeanorland.</w:t>
      </w:r>
    </w:p>
    <w:p xmlns:wp14="http://schemas.microsoft.com/office/word/2010/wordml" w:rsidP="5CED130D" w14:paraId="28574599" wp14:textId="71C2A31F">
      <w:pPr>
        <w:spacing w:line="480" w:lineRule="auto"/>
        <w:jc w:val="center"/>
        <w:rPr>
          <w:rFonts w:ascii="Times New Roman" w:hAnsi="Times New Roman" w:eastAsia="Times New Roman" w:cs="Times New Roman"/>
          <w:b w:val="1"/>
          <w:bCs w:val="1"/>
          <w:noProof w:val="0"/>
          <w:sz w:val="24"/>
          <w:szCs w:val="24"/>
          <w:lang w:val="en-US"/>
        </w:rPr>
      </w:pPr>
      <w:r w:rsidRPr="5CED130D" w:rsidR="5CED130D">
        <w:rPr>
          <w:rFonts w:ascii="Times New Roman" w:hAnsi="Times New Roman" w:eastAsia="Times New Roman" w:cs="Times New Roman"/>
          <w:b w:val="1"/>
          <w:bCs w:val="1"/>
          <w:noProof w:val="0"/>
          <w:sz w:val="24"/>
          <w:szCs w:val="24"/>
          <w:lang w:val="en-US"/>
        </w:rPr>
        <w:t>References</w:t>
      </w:r>
    </w:p>
    <w:p xmlns:wp14="http://schemas.microsoft.com/office/word/2010/wordml" w:rsidP="3440F815" w14:paraId="07B9E666" wp14:textId="00926481">
      <w:pPr>
        <w:spacing w:line="480" w:lineRule="auto"/>
        <w:ind w:left="720" w:hanging="720"/>
        <w:rPr>
          <w:rFonts w:ascii="Times New Roman" w:hAnsi="Times New Roman" w:eastAsia="Times New Roman" w:cs="Times New Roman"/>
          <w:noProof w:val="0"/>
          <w:sz w:val="24"/>
          <w:szCs w:val="24"/>
          <w:lang w:val="en-US"/>
        </w:rPr>
      </w:pPr>
      <w:r w:rsidRPr="3440F815" w:rsidR="3440F815">
        <w:rPr>
          <w:rFonts w:ascii="Times New Roman" w:hAnsi="Times New Roman" w:eastAsia="Times New Roman" w:cs="Times New Roman"/>
          <w:noProof w:val="0"/>
          <w:sz w:val="24"/>
          <w:szCs w:val="24"/>
          <w:lang w:val="en-US"/>
        </w:rPr>
        <w:t xml:space="preserve">Kohler-Hausmann, I. (2019). </w:t>
      </w:r>
      <w:r w:rsidRPr="3440F815" w:rsidR="3440F815">
        <w:rPr>
          <w:rFonts w:ascii="Times New Roman" w:hAnsi="Times New Roman" w:eastAsia="Times New Roman" w:cs="Times New Roman"/>
          <w:i w:val="1"/>
          <w:iCs w:val="1"/>
          <w:noProof w:val="0"/>
          <w:sz w:val="24"/>
          <w:szCs w:val="24"/>
          <w:lang w:val="en-US"/>
        </w:rPr>
        <w:t>Misdemeanorland: Criminal Courts and Social Control in an Age of Broken Windows Policing</w:t>
      </w:r>
      <w:r w:rsidRPr="3440F815" w:rsidR="3440F815">
        <w:rPr>
          <w:rFonts w:ascii="Times New Roman" w:hAnsi="Times New Roman" w:eastAsia="Times New Roman" w:cs="Times New Roman"/>
          <w:noProof w:val="0"/>
          <w:sz w:val="24"/>
          <w:szCs w:val="24"/>
          <w:lang w:val="en-US"/>
        </w:rPr>
        <w:t>. Princeton UP.</w:t>
      </w:r>
    </w:p>
    <w:p xmlns:wp14="http://schemas.microsoft.com/office/word/2010/wordml" w:rsidP="3440F815" w14:paraId="2C078E63" wp14:textId="0118143C">
      <w:pPr>
        <w:pStyle w:val="Normal"/>
        <w:spacing w:line="480" w:lineRule="auto"/>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headerReference w:type="default" r:id="Redbc94d5d7514c82"/>
      <w:footerReference w:type="default" r:id="R42a334f7274844f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CED130D" w:rsidTr="5CED130D" w14:paraId="10459894">
      <w:tc>
        <w:tcPr>
          <w:tcW w:w="3120" w:type="dxa"/>
          <w:tcMar/>
        </w:tcPr>
        <w:p w:rsidR="5CED130D" w:rsidP="5CED130D" w:rsidRDefault="5CED130D" w14:paraId="7B6E48FE" w14:textId="7D27A272">
          <w:pPr>
            <w:pStyle w:val="Header"/>
            <w:bidi w:val="0"/>
            <w:ind w:left="-115"/>
            <w:jc w:val="left"/>
          </w:pPr>
        </w:p>
      </w:tc>
      <w:tc>
        <w:tcPr>
          <w:tcW w:w="3120" w:type="dxa"/>
          <w:tcMar/>
        </w:tcPr>
        <w:p w:rsidR="5CED130D" w:rsidP="5CED130D" w:rsidRDefault="5CED130D" w14:paraId="5112F10C" w14:textId="27736EC5">
          <w:pPr>
            <w:pStyle w:val="Header"/>
            <w:bidi w:val="0"/>
            <w:jc w:val="center"/>
          </w:pPr>
        </w:p>
      </w:tc>
      <w:tc>
        <w:tcPr>
          <w:tcW w:w="3120" w:type="dxa"/>
          <w:tcMar/>
        </w:tcPr>
        <w:p w:rsidR="5CED130D" w:rsidP="5CED130D" w:rsidRDefault="5CED130D" w14:paraId="6C4C3A85" w14:textId="3D384EB8">
          <w:pPr>
            <w:pStyle w:val="Header"/>
            <w:bidi w:val="0"/>
            <w:ind w:right="-115"/>
            <w:jc w:val="right"/>
          </w:pPr>
        </w:p>
      </w:tc>
    </w:tr>
  </w:tbl>
  <w:p w:rsidR="5CED130D" w:rsidP="5CED130D" w:rsidRDefault="5CED130D" w14:paraId="34D4DB46" w14:textId="3347677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CED130D" w:rsidTr="5CED130D" w14:paraId="3C191C96">
      <w:tc>
        <w:tcPr>
          <w:tcW w:w="3120" w:type="dxa"/>
          <w:tcMar/>
        </w:tcPr>
        <w:p w:rsidR="5CED130D" w:rsidP="5CED130D" w:rsidRDefault="5CED130D" w14:paraId="7531F336" w14:textId="653B14B3">
          <w:pPr>
            <w:pStyle w:val="Header"/>
            <w:bidi w:val="0"/>
            <w:ind w:left="-115"/>
            <w:jc w:val="left"/>
          </w:pPr>
        </w:p>
      </w:tc>
      <w:tc>
        <w:tcPr>
          <w:tcW w:w="3120" w:type="dxa"/>
          <w:tcMar/>
        </w:tcPr>
        <w:p w:rsidR="5CED130D" w:rsidP="5CED130D" w:rsidRDefault="5CED130D" w14:paraId="43CDF415" w14:textId="48C5B67C">
          <w:pPr>
            <w:pStyle w:val="Header"/>
            <w:bidi w:val="0"/>
            <w:jc w:val="center"/>
          </w:pPr>
        </w:p>
      </w:tc>
      <w:tc>
        <w:tcPr>
          <w:tcW w:w="3120" w:type="dxa"/>
          <w:tcMar/>
        </w:tcPr>
        <w:p w:rsidR="5CED130D" w:rsidP="5CED130D" w:rsidRDefault="5CED130D" w14:paraId="7EECBE4E" w14:textId="6882CE80">
          <w:pPr>
            <w:pStyle w:val="Header"/>
            <w:bidi w:val="0"/>
            <w:ind w:right="-115"/>
            <w:jc w:val="right"/>
          </w:pPr>
          <w:r>
            <w:fldChar w:fldCharType="begin"/>
          </w:r>
          <w:r>
            <w:instrText xml:space="preserve">PAGE</w:instrText>
          </w:r>
          <w:r>
            <w:fldChar w:fldCharType="separate"/>
          </w:r>
          <w:r>
            <w:fldChar w:fldCharType="end"/>
          </w:r>
        </w:p>
      </w:tc>
    </w:tr>
  </w:tbl>
  <w:p w:rsidR="5CED130D" w:rsidP="5CED130D" w:rsidRDefault="5CED130D" w14:paraId="1C172029" w14:textId="1F96B282">
    <w:pPr>
      <w:pStyle w:val="Header"/>
      <w:bidi w:val="0"/>
    </w:pPr>
  </w:p>
</w:hdr>
</file>

<file path=word/intelligence.xml><?xml version="1.0" encoding="utf-8"?>
<int:Intelligence xmlns:int="http://schemas.microsoft.com/office/intelligence/2019/intelligence">
  <int:IntelligenceSettings/>
  <int:Manifest>
    <int:WordHash hashCode="03GB8zMhMy+Wpx" id="weXg8RNw"/>
    <int:ParagraphRange paragraphId="2097985747" textId="1942693883" start="335" length="4" invalidationStart="335" invalidationLength="4" id="n2aRNhbd"/>
  </int:Manifest>
  <int:Observations>
    <int:Content id="weXg8RNw">
      <int:Rejection type="LegacyProofing"/>
    </int:Content>
    <int:Content id="n2aRNhbd">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220DA"/>
    <w:rsid w:val="3440F815"/>
    <w:rsid w:val="5CED130D"/>
    <w:rsid w:val="61F2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20DA"/>
  <w15:chartTrackingRefBased/>
  <w15:docId w15:val="{0D0CB2B2-8D44-4C6D-8551-C259617132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19/09/relationships/intelligence" Target="/word/intelligence.xml" Id="Rf6d4aba5ae3440a5" /><Relationship Type="http://schemas.openxmlformats.org/officeDocument/2006/relationships/header" Target="/word/header.xml" Id="Redbc94d5d7514c82" /><Relationship Type="http://schemas.openxmlformats.org/officeDocument/2006/relationships/footer" Target="/word/footer.xml" Id="R42a334f7274844f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2021-09-13T19:29:31.5096147Z</dcterms:created>
  <dcterms:modified xsi:type="dcterms:W3CDTF">2021-09-13T19:46:32.7998817Z</dcterms:modified>
  <dc:creator>tom kingston</dc:creator>
  <lastModifiedBy>tom kingston</lastModifiedBy>
</coreProperties>
</file>